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D0F" w:rsidRPr="00DA022F" w:rsidRDefault="00927DE7" w:rsidP="00E93F2A">
      <w:pPr>
        <w:tabs>
          <w:tab w:val="left" w:leader="dot" w:pos="9356"/>
        </w:tabs>
        <w:rPr>
          <w:rFonts w:ascii="Ravie" w:hAnsi="Ravie"/>
        </w:rPr>
      </w:pPr>
      <w:r w:rsidRPr="00DA022F">
        <w:rPr>
          <w:rFonts w:ascii="Ravie" w:hAnsi="Ravie"/>
        </w:rPr>
        <w:t>Les tableaux :</w:t>
      </w:r>
    </w:p>
    <w:p w:rsidR="00BF336D" w:rsidRPr="00661F2D" w:rsidRDefault="00B67192" w:rsidP="00B23269">
      <w:pPr>
        <w:tabs>
          <w:tab w:val="left" w:leader="dot" w:pos="1560"/>
          <w:tab w:val="left" w:leader="dot" w:pos="9072"/>
        </w:tabs>
        <w:spacing w:after="0" w:line="240" w:lineRule="auto"/>
        <w:jc w:val="both"/>
        <w:rPr>
          <w:rFonts w:asciiTheme="majorBidi" w:hAnsiTheme="majorBidi" w:cstheme="majorBidi"/>
          <w:i/>
          <w:iCs/>
          <w:sz w:val="27"/>
          <w:szCs w:val="27"/>
        </w:rPr>
      </w:pPr>
      <w:r w:rsidRPr="00661F2D">
        <w:rPr>
          <w:rFonts w:asciiTheme="majorBidi" w:hAnsiTheme="majorBidi" w:cstheme="majorBidi"/>
          <w:i/>
          <w:iCs/>
          <w:sz w:val="27"/>
          <w:szCs w:val="27"/>
        </w:rPr>
        <w:t>II.1.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 Les caractéristiques des bitumes purs</w:t>
      </w:r>
      <w:r w:rsidR="005A2845" w:rsidRPr="00661F2D">
        <w:rPr>
          <w:rFonts w:asciiTheme="majorBidi" w:hAnsiTheme="majorBidi" w:cstheme="majorBidi"/>
          <w:i/>
          <w:iCs/>
          <w:sz w:val="27"/>
          <w:szCs w:val="27"/>
        </w:rPr>
        <w:tab/>
      </w:r>
      <w:r w:rsidR="00E93F2A" w:rsidRPr="00661F2D">
        <w:rPr>
          <w:rFonts w:asciiTheme="majorBidi" w:hAnsiTheme="majorBidi" w:cstheme="majorBidi"/>
          <w:i/>
          <w:iCs/>
          <w:sz w:val="27"/>
          <w:szCs w:val="27"/>
        </w:rPr>
        <w:t>3</w:t>
      </w:r>
      <w:r w:rsidR="00B23269">
        <w:rPr>
          <w:rFonts w:asciiTheme="majorBidi" w:hAnsiTheme="majorBidi" w:cstheme="majorBidi"/>
          <w:i/>
          <w:iCs/>
          <w:sz w:val="27"/>
          <w:szCs w:val="27"/>
        </w:rPr>
        <w:t>3</w:t>
      </w:r>
    </w:p>
    <w:p w:rsidR="00BF336D" w:rsidRDefault="00B67192" w:rsidP="00B23269">
      <w:pPr>
        <w:tabs>
          <w:tab w:val="left" w:leader="dot" w:pos="1560"/>
          <w:tab w:val="left" w:leader="dot" w:pos="9072"/>
        </w:tabs>
        <w:spacing w:after="0" w:line="240" w:lineRule="auto"/>
        <w:jc w:val="both"/>
        <w:rPr>
          <w:rFonts w:asciiTheme="majorBidi" w:hAnsiTheme="majorBidi" w:cstheme="majorBidi"/>
          <w:i/>
          <w:iCs/>
          <w:sz w:val="27"/>
          <w:szCs w:val="27"/>
        </w:rPr>
      </w:pPr>
      <w:r w:rsidRPr="00661F2D">
        <w:rPr>
          <w:rFonts w:asciiTheme="majorBidi" w:hAnsiTheme="majorBidi" w:cstheme="majorBidi"/>
          <w:i/>
          <w:iCs/>
          <w:sz w:val="27"/>
          <w:szCs w:val="27"/>
        </w:rPr>
        <w:t>VI.1.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 </w:t>
      </w:r>
      <w:r w:rsidR="00A84A32" w:rsidRPr="00661F2D">
        <w:rPr>
          <w:rFonts w:asciiTheme="majorBidi" w:hAnsiTheme="majorBidi" w:cstheme="majorBidi"/>
          <w:i/>
          <w:iCs/>
          <w:sz w:val="27"/>
          <w:szCs w:val="27"/>
        </w:rPr>
        <w:t>L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es différances entre les propriétés </w:t>
      </w:r>
      <w:r w:rsidR="005A2845" w:rsidRPr="00661F2D">
        <w:rPr>
          <w:rFonts w:asciiTheme="majorBidi" w:hAnsiTheme="majorBidi" w:cstheme="majorBidi"/>
          <w:i/>
          <w:iCs/>
          <w:sz w:val="27"/>
          <w:szCs w:val="27"/>
        </w:rPr>
        <w:t>des deux types de polyéthylène</w:t>
      </w:r>
      <w:r w:rsidR="005A2845" w:rsidRPr="00661F2D">
        <w:rPr>
          <w:rFonts w:asciiTheme="majorBidi" w:hAnsiTheme="majorBidi" w:cstheme="majorBidi"/>
          <w:i/>
          <w:iCs/>
          <w:sz w:val="27"/>
          <w:szCs w:val="27"/>
        </w:rPr>
        <w:tab/>
      </w:r>
      <w:r w:rsidR="00E93F2A" w:rsidRPr="00661F2D">
        <w:rPr>
          <w:rFonts w:asciiTheme="majorBidi" w:hAnsiTheme="majorBidi" w:cstheme="majorBidi"/>
          <w:i/>
          <w:iCs/>
          <w:sz w:val="27"/>
          <w:szCs w:val="27"/>
        </w:rPr>
        <w:t>6</w:t>
      </w:r>
      <w:r w:rsidR="00B23269">
        <w:rPr>
          <w:rFonts w:asciiTheme="majorBidi" w:hAnsiTheme="majorBidi" w:cstheme="majorBidi"/>
          <w:i/>
          <w:iCs/>
          <w:sz w:val="27"/>
          <w:szCs w:val="27"/>
        </w:rPr>
        <w:t>8</w:t>
      </w:r>
    </w:p>
    <w:p w:rsidR="00B45150" w:rsidRPr="00661F2D" w:rsidRDefault="00B45150" w:rsidP="00B23269">
      <w:pPr>
        <w:tabs>
          <w:tab w:val="left" w:leader="dot" w:pos="1560"/>
          <w:tab w:val="left" w:leader="dot" w:pos="9072"/>
        </w:tabs>
        <w:spacing w:after="0" w:line="240" w:lineRule="auto"/>
        <w:jc w:val="both"/>
        <w:rPr>
          <w:rFonts w:asciiTheme="majorBidi" w:hAnsiTheme="majorBidi" w:cstheme="majorBidi"/>
          <w:i/>
          <w:iCs/>
          <w:sz w:val="27"/>
          <w:szCs w:val="27"/>
        </w:rPr>
      </w:pPr>
      <w:r w:rsidRPr="00B45150">
        <w:rPr>
          <w:rFonts w:asciiTheme="majorBidi" w:hAnsiTheme="majorBidi" w:cstheme="majorBidi"/>
          <w:i/>
          <w:iCs/>
          <w:sz w:val="27"/>
          <w:szCs w:val="27"/>
        </w:rPr>
        <w:t>1</w:t>
      </w:r>
      <w:r w:rsidR="00725E7B">
        <w:rPr>
          <w:rFonts w:asciiTheme="majorBidi" w:hAnsiTheme="majorBidi" w:cstheme="majorBidi"/>
          <w:i/>
          <w:iCs/>
          <w:sz w:val="27"/>
          <w:szCs w:val="27"/>
        </w:rPr>
        <w:t>.</w:t>
      </w:r>
      <w:r w:rsidRPr="00B45150">
        <w:rPr>
          <w:rFonts w:asciiTheme="majorBidi" w:hAnsiTheme="majorBidi" w:cstheme="majorBidi"/>
          <w:i/>
          <w:iCs/>
          <w:sz w:val="27"/>
          <w:szCs w:val="27"/>
        </w:rPr>
        <w:t xml:space="preserve"> </w:t>
      </w:r>
      <w:r w:rsidR="00A84A32" w:rsidRPr="00B45150">
        <w:rPr>
          <w:rFonts w:asciiTheme="majorBidi" w:hAnsiTheme="majorBidi" w:cstheme="majorBidi"/>
          <w:i/>
          <w:iCs/>
          <w:sz w:val="27"/>
          <w:szCs w:val="27"/>
        </w:rPr>
        <w:t>L</w:t>
      </w:r>
      <w:r w:rsidRPr="00B45150">
        <w:rPr>
          <w:rFonts w:asciiTheme="majorBidi" w:hAnsiTheme="majorBidi" w:cstheme="majorBidi"/>
          <w:i/>
          <w:iCs/>
          <w:sz w:val="27"/>
          <w:szCs w:val="27"/>
        </w:rPr>
        <w:t>es zones climatiques</w:t>
      </w:r>
      <w:r>
        <w:rPr>
          <w:rFonts w:asciiTheme="majorBidi" w:hAnsiTheme="majorBidi" w:cstheme="majorBidi"/>
          <w:i/>
          <w:iCs/>
          <w:sz w:val="27"/>
          <w:szCs w:val="27"/>
        </w:rPr>
        <w:tab/>
      </w:r>
      <w:r w:rsidR="00B23269">
        <w:rPr>
          <w:rFonts w:asciiTheme="majorBidi" w:hAnsiTheme="majorBidi" w:cstheme="majorBidi"/>
          <w:i/>
          <w:iCs/>
          <w:sz w:val="27"/>
          <w:szCs w:val="27"/>
        </w:rPr>
        <w:t>72</w:t>
      </w:r>
    </w:p>
    <w:p w:rsidR="00BF336D" w:rsidRPr="00661F2D" w:rsidRDefault="00B67192" w:rsidP="00B23269">
      <w:pPr>
        <w:tabs>
          <w:tab w:val="left" w:leader="dot" w:pos="1560"/>
          <w:tab w:val="left" w:leader="dot" w:pos="9072"/>
        </w:tabs>
        <w:spacing w:after="0" w:line="240" w:lineRule="auto"/>
        <w:jc w:val="both"/>
        <w:rPr>
          <w:rFonts w:asciiTheme="majorBidi" w:hAnsiTheme="majorBidi" w:cstheme="majorBidi"/>
          <w:i/>
          <w:iCs/>
          <w:sz w:val="27"/>
          <w:szCs w:val="27"/>
        </w:rPr>
      </w:pPr>
      <w:r w:rsidRPr="00661F2D">
        <w:rPr>
          <w:rFonts w:asciiTheme="majorBidi" w:hAnsiTheme="majorBidi" w:cstheme="majorBidi"/>
          <w:i/>
          <w:iCs/>
          <w:sz w:val="27"/>
          <w:szCs w:val="27"/>
        </w:rPr>
        <w:t>V.1.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 </w:t>
      </w:r>
      <w:r w:rsidR="00A84A32" w:rsidRPr="00661F2D">
        <w:rPr>
          <w:rFonts w:asciiTheme="majorBidi" w:hAnsiTheme="majorBidi" w:cstheme="majorBidi"/>
          <w:i/>
          <w:iCs/>
          <w:sz w:val="27"/>
          <w:szCs w:val="27"/>
        </w:rPr>
        <w:t>S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>pécifications techniques de la charge (BRI)</w:t>
      </w:r>
      <w:r w:rsidR="005A2845" w:rsidRPr="00661F2D">
        <w:rPr>
          <w:rFonts w:asciiTheme="majorBidi" w:hAnsiTheme="majorBidi" w:cstheme="majorBidi"/>
          <w:i/>
          <w:iCs/>
          <w:sz w:val="27"/>
          <w:szCs w:val="27"/>
        </w:rPr>
        <w:tab/>
      </w:r>
      <w:r w:rsidR="00E93F2A" w:rsidRPr="00661F2D">
        <w:rPr>
          <w:rFonts w:asciiTheme="majorBidi" w:hAnsiTheme="majorBidi" w:cstheme="majorBidi"/>
          <w:i/>
          <w:iCs/>
          <w:sz w:val="27"/>
          <w:szCs w:val="27"/>
        </w:rPr>
        <w:t>7</w:t>
      </w:r>
      <w:r w:rsidR="00B23269">
        <w:rPr>
          <w:rFonts w:asciiTheme="majorBidi" w:hAnsiTheme="majorBidi" w:cstheme="majorBidi"/>
          <w:i/>
          <w:iCs/>
          <w:sz w:val="27"/>
          <w:szCs w:val="27"/>
        </w:rPr>
        <w:t>4</w:t>
      </w:r>
    </w:p>
    <w:p w:rsidR="00BF336D" w:rsidRPr="00661F2D" w:rsidRDefault="00B67192" w:rsidP="00B23269">
      <w:pPr>
        <w:tabs>
          <w:tab w:val="left" w:leader="dot" w:pos="1560"/>
          <w:tab w:val="left" w:leader="dot" w:pos="9072"/>
        </w:tabs>
        <w:spacing w:after="0" w:line="240" w:lineRule="auto"/>
        <w:jc w:val="both"/>
        <w:rPr>
          <w:rFonts w:asciiTheme="majorBidi" w:hAnsiTheme="majorBidi" w:cstheme="majorBidi"/>
          <w:i/>
          <w:iCs/>
          <w:sz w:val="27"/>
          <w:szCs w:val="27"/>
        </w:rPr>
      </w:pPr>
      <w:r w:rsidRPr="00661F2D">
        <w:rPr>
          <w:rFonts w:asciiTheme="majorBidi" w:hAnsiTheme="majorBidi" w:cstheme="majorBidi"/>
          <w:i/>
          <w:iCs/>
          <w:sz w:val="27"/>
          <w:szCs w:val="27"/>
        </w:rPr>
        <w:t>V.2.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 </w:t>
      </w:r>
      <w:r w:rsidR="00A84A32" w:rsidRPr="00661F2D">
        <w:rPr>
          <w:rFonts w:asciiTheme="majorBidi" w:hAnsiTheme="majorBidi" w:cstheme="majorBidi"/>
          <w:i/>
          <w:iCs/>
          <w:sz w:val="27"/>
          <w:szCs w:val="27"/>
        </w:rPr>
        <w:t>L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>es analyses effectuées sur RSV de la 14C1 de la zone 10.</w:t>
      </w:r>
      <w:r w:rsidR="005A2845" w:rsidRPr="00661F2D">
        <w:rPr>
          <w:rFonts w:asciiTheme="majorBidi" w:hAnsiTheme="majorBidi" w:cstheme="majorBidi"/>
          <w:i/>
          <w:iCs/>
          <w:sz w:val="27"/>
          <w:szCs w:val="27"/>
        </w:rPr>
        <w:tab/>
      </w:r>
      <w:r w:rsidR="00B23269">
        <w:rPr>
          <w:rFonts w:asciiTheme="majorBidi" w:hAnsiTheme="majorBidi" w:cstheme="majorBidi"/>
          <w:i/>
          <w:iCs/>
          <w:sz w:val="27"/>
          <w:szCs w:val="27"/>
        </w:rPr>
        <w:t>81</w:t>
      </w:r>
    </w:p>
    <w:p w:rsidR="00BF336D" w:rsidRPr="00661F2D" w:rsidRDefault="00B67192" w:rsidP="00B23269">
      <w:pPr>
        <w:tabs>
          <w:tab w:val="left" w:leader="dot" w:pos="1560"/>
          <w:tab w:val="left" w:leader="dot" w:pos="9072"/>
        </w:tabs>
        <w:spacing w:after="0" w:line="240" w:lineRule="auto"/>
        <w:jc w:val="both"/>
        <w:rPr>
          <w:rFonts w:asciiTheme="majorBidi" w:hAnsiTheme="majorBidi" w:cstheme="majorBidi"/>
          <w:i/>
          <w:iCs/>
          <w:sz w:val="27"/>
          <w:szCs w:val="27"/>
        </w:rPr>
      </w:pPr>
      <w:r w:rsidRPr="00661F2D">
        <w:rPr>
          <w:rFonts w:asciiTheme="majorBidi" w:hAnsiTheme="majorBidi" w:cstheme="majorBidi"/>
          <w:i/>
          <w:iCs/>
          <w:sz w:val="27"/>
          <w:szCs w:val="27"/>
        </w:rPr>
        <w:t>V.3.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 </w:t>
      </w:r>
      <w:r w:rsidR="00A84A32" w:rsidRPr="00661F2D">
        <w:rPr>
          <w:rFonts w:asciiTheme="majorBidi" w:hAnsiTheme="majorBidi" w:cstheme="majorBidi"/>
          <w:i/>
          <w:iCs/>
          <w:sz w:val="27"/>
          <w:szCs w:val="27"/>
        </w:rPr>
        <w:t>L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>es analyses effectuées sur RSV de la zone 7.</w:t>
      </w:r>
      <w:r w:rsidR="005A2845" w:rsidRPr="00661F2D">
        <w:rPr>
          <w:rFonts w:asciiTheme="majorBidi" w:hAnsiTheme="majorBidi" w:cstheme="majorBidi"/>
          <w:i/>
          <w:iCs/>
          <w:sz w:val="27"/>
          <w:szCs w:val="27"/>
        </w:rPr>
        <w:tab/>
      </w:r>
      <w:r w:rsidR="00B23269">
        <w:rPr>
          <w:rFonts w:asciiTheme="majorBidi" w:hAnsiTheme="majorBidi" w:cstheme="majorBidi"/>
          <w:i/>
          <w:iCs/>
          <w:sz w:val="27"/>
          <w:szCs w:val="27"/>
        </w:rPr>
        <w:t>82</w:t>
      </w:r>
    </w:p>
    <w:p w:rsidR="00BF336D" w:rsidRPr="00661F2D" w:rsidRDefault="00B67192" w:rsidP="00B23269">
      <w:pPr>
        <w:tabs>
          <w:tab w:val="left" w:leader="dot" w:pos="1560"/>
          <w:tab w:val="left" w:leader="dot" w:pos="9072"/>
        </w:tabs>
        <w:spacing w:after="0" w:line="240" w:lineRule="auto"/>
        <w:jc w:val="both"/>
        <w:rPr>
          <w:rFonts w:asciiTheme="majorBidi" w:hAnsiTheme="majorBidi" w:cstheme="majorBidi"/>
          <w:i/>
          <w:iCs/>
          <w:sz w:val="27"/>
          <w:szCs w:val="27"/>
        </w:rPr>
      </w:pPr>
      <w:r w:rsidRPr="00661F2D">
        <w:rPr>
          <w:rFonts w:asciiTheme="majorBidi" w:hAnsiTheme="majorBidi" w:cstheme="majorBidi"/>
          <w:i/>
          <w:iCs/>
          <w:sz w:val="27"/>
          <w:szCs w:val="27"/>
        </w:rPr>
        <w:t>V.4.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 </w:t>
      </w:r>
      <w:r w:rsidR="00A84A32" w:rsidRPr="00661F2D">
        <w:rPr>
          <w:rFonts w:asciiTheme="majorBidi" w:hAnsiTheme="majorBidi" w:cstheme="majorBidi"/>
          <w:i/>
          <w:iCs/>
          <w:sz w:val="27"/>
          <w:szCs w:val="27"/>
        </w:rPr>
        <w:t>L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>es analyses effectuées sur RSV de la zone 5.</w:t>
      </w:r>
      <w:r w:rsidR="005A2845" w:rsidRPr="00661F2D">
        <w:rPr>
          <w:rFonts w:asciiTheme="majorBidi" w:hAnsiTheme="majorBidi" w:cstheme="majorBidi"/>
          <w:i/>
          <w:iCs/>
          <w:sz w:val="27"/>
          <w:szCs w:val="27"/>
        </w:rPr>
        <w:tab/>
      </w:r>
      <w:r w:rsidR="00B23269">
        <w:rPr>
          <w:rFonts w:asciiTheme="majorBidi" w:hAnsiTheme="majorBidi" w:cstheme="majorBidi"/>
          <w:i/>
          <w:iCs/>
          <w:sz w:val="27"/>
          <w:szCs w:val="27"/>
        </w:rPr>
        <w:t>83</w:t>
      </w:r>
    </w:p>
    <w:p w:rsidR="00BF336D" w:rsidRPr="00661F2D" w:rsidRDefault="00B67192" w:rsidP="00B23269">
      <w:pPr>
        <w:tabs>
          <w:tab w:val="left" w:leader="dot" w:pos="1560"/>
          <w:tab w:val="left" w:leader="dot" w:pos="9072"/>
        </w:tabs>
        <w:spacing w:after="0" w:line="240" w:lineRule="auto"/>
        <w:jc w:val="both"/>
        <w:rPr>
          <w:rFonts w:asciiTheme="majorBidi" w:hAnsiTheme="majorBidi" w:cstheme="majorBidi"/>
          <w:i/>
          <w:iCs/>
          <w:sz w:val="27"/>
          <w:szCs w:val="27"/>
        </w:rPr>
      </w:pPr>
      <w:r w:rsidRPr="00661F2D">
        <w:rPr>
          <w:rFonts w:asciiTheme="majorBidi" w:hAnsiTheme="majorBidi" w:cstheme="majorBidi"/>
          <w:i/>
          <w:iCs/>
          <w:sz w:val="27"/>
          <w:szCs w:val="27"/>
        </w:rPr>
        <w:t>V.5.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 </w:t>
      </w:r>
      <w:r w:rsidR="00A84A32" w:rsidRPr="00661F2D">
        <w:rPr>
          <w:rFonts w:asciiTheme="majorBidi" w:hAnsiTheme="majorBidi" w:cstheme="majorBidi"/>
          <w:i/>
          <w:iCs/>
          <w:sz w:val="27"/>
          <w:szCs w:val="27"/>
        </w:rPr>
        <w:t>L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>es analyses effectuées sur RSV zone 10 et l’asphalte zone 7.</w:t>
      </w:r>
      <w:r w:rsidR="005A2845" w:rsidRPr="00661F2D">
        <w:rPr>
          <w:rFonts w:asciiTheme="majorBidi" w:hAnsiTheme="majorBidi" w:cstheme="majorBidi"/>
          <w:i/>
          <w:iCs/>
          <w:sz w:val="27"/>
          <w:szCs w:val="27"/>
        </w:rPr>
        <w:tab/>
      </w:r>
      <w:r w:rsidR="00E93F2A" w:rsidRPr="00661F2D">
        <w:rPr>
          <w:rFonts w:asciiTheme="majorBidi" w:hAnsiTheme="majorBidi" w:cstheme="majorBidi"/>
          <w:i/>
          <w:iCs/>
          <w:sz w:val="27"/>
          <w:szCs w:val="27"/>
        </w:rPr>
        <w:t>8</w:t>
      </w:r>
      <w:r w:rsidR="00B23269">
        <w:rPr>
          <w:rFonts w:asciiTheme="majorBidi" w:hAnsiTheme="majorBidi" w:cstheme="majorBidi"/>
          <w:i/>
          <w:iCs/>
          <w:sz w:val="27"/>
          <w:szCs w:val="27"/>
        </w:rPr>
        <w:t>8</w:t>
      </w:r>
    </w:p>
    <w:p w:rsidR="00BF336D" w:rsidRPr="00661F2D" w:rsidRDefault="00B67192" w:rsidP="00B23269">
      <w:pPr>
        <w:tabs>
          <w:tab w:val="left" w:leader="dot" w:pos="1560"/>
          <w:tab w:val="left" w:leader="dot" w:pos="9072"/>
        </w:tabs>
        <w:spacing w:after="0" w:line="240" w:lineRule="auto"/>
        <w:jc w:val="both"/>
        <w:rPr>
          <w:rFonts w:asciiTheme="majorBidi" w:hAnsiTheme="majorBidi" w:cstheme="majorBidi"/>
          <w:i/>
          <w:iCs/>
          <w:sz w:val="27"/>
          <w:szCs w:val="27"/>
        </w:rPr>
      </w:pPr>
      <w:r w:rsidRPr="00661F2D">
        <w:rPr>
          <w:rFonts w:asciiTheme="majorBidi" w:hAnsiTheme="majorBidi" w:cstheme="majorBidi"/>
          <w:i/>
          <w:iCs/>
          <w:sz w:val="27"/>
          <w:szCs w:val="27"/>
        </w:rPr>
        <w:t>V.6.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 </w:t>
      </w:r>
      <w:r w:rsidR="00A84A32" w:rsidRPr="00661F2D">
        <w:rPr>
          <w:rFonts w:asciiTheme="majorBidi" w:hAnsiTheme="majorBidi" w:cstheme="majorBidi"/>
          <w:i/>
          <w:iCs/>
          <w:sz w:val="27"/>
          <w:szCs w:val="27"/>
        </w:rPr>
        <w:t>L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es analyses effectuées sur le mélange de RSV zone 10 et l’asphalte </w:t>
      </w:r>
      <w:r w:rsidR="005A2845" w:rsidRPr="00661F2D">
        <w:rPr>
          <w:rFonts w:asciiTheme="majorBidi" w:hAnsiTheme="majorBidi" w:cstheme="majorBidi"/>
          <w:i/>
          <w:iCs/>
          <w:sz w:val="27"/>
          <w:szCs w:val="27"/>
        </w:rPr>
        <w:tab/>
      </w:r>
      <w:r w:rsidR="00E93F2A" w:rsidRPr="00661F2D">
        <w:rPr>
          <w:rFonts w:asciiTheme="majorBidi" w:hAnsiTheme="majorBidi" w:cstheme="majorBidi"/>
          <w:i/>
          <w:iCs/>
          <w:sz w:val="27"/>
          <w:szCs w:val="27"/>
        </w:rPr>
        <w:t>8</w:t>
      </w:r>
      <w:r w:rsidR="00B23269">
        <w:rPr>
          <w:rFonts w:asciiTheme="majorBidi" w:hAnsiTheme="majorBidi" w:cstheme="majorBidi"/>
          <w:i/>
          <w:iCs/>
          <w:sz w:val="27"/>
          <w:szCs w:val="27"/>
        </w:rPr>
        <w:t>8</w:t>
      </w:r>
    </w:p>
    <w:p w:rsidR="00BF336D" w:rsidRPr="00661F2D" w:rsidRDefault="00B67192" w:rsidP="00B23269">
      <w:pPr>
        <w:tabs>
          <w:tab w:val="left" w:leader="dot" w:pos="1560"/>
          <w:tab w:val="left" w:leader="dot" w:pos="9072"/>
        </w:tabs>
        <w:spacing w:after="0" w:line="240" w:lineRule="auto"/>
        <w:jc w:val="both"/>
        <w:rPr>
          <w:rFonts w:asciiTheme="majorBidi" w:hAnsiTheme="majorBidi" w:cstheme="majorBidi"/>
          <w:i/>
          <w:iCs/>
          <w:sz w:val="27"/>
          <w:szCs w:val="27"/>
        </w:rPr>
      </w:pPr>
      <w:r w:rsidRPr="00661F2D">
        <w:rPr>
          <w:rFonts w:asciiTheme="majorBidi" w:hAnsiTheme="majorBidi" w:cstheme="majorBidi"/>
          <w:i/>
          <w:iCs/>
          <w:sz w:val="27"/>
          <w:szCs w:val="27"/>
        </w:rPr>
        <w:t>V.7.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 </w:t>
      </w:r>
      <w:r w:rsidR="00A84A32" w:rsidRPr="00661F2D">
        <w:rPr>
          <w:rFonts w:asciiTheme="majorBidi" w:hAnsiTheme="majorBidi" w:cstheme="majorBidi"/>
          <w:i/>
          <w:iCs/>
          <w:sz w:val="27"/>
          <w:szCs w:val="27"/>
        </w:rPr>
        <w:t>R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>ésultats des tests effectués sur le mélange oxydé.</w:t>
      </w:r>
      <w:r w:rsidR="005A2845" w:rsidRPr="00661F2D">
        <w:rPr>
          <w:rFonts w:asciiTheme="majorBidi" w:hAnsiTheme="majorBidi" w:cstheme="majorBidi"/>
          <w:i/>
          <w:iCs/>
          <w:sz w:val="27"/>
          <w:szCs w:val="27"/>
        </w:rPr>
        <w:tab/>
      </w:r>
      <w:r w:rsidR="00B23269">
        <w:rPr>
          <w:rFonts w:asciiTheme="majorBidi" w:hAnsiTheme="majorBidi" w:cstheme="majorBidi"/>
          <w:i/>
          <w:iCs/>
          <w:sz w:val="27"/>
          <w:szCs w:val="27"/>
        </w:rPr>
        <w:t>92</w:t>
      </w:r>
    </w:p>
    <w:p w:rsidR="00BF336D" w:rsidRPr="00661F2D" w:rsidRDefault="00B67192" w:rsidP="00B23269">
      <w:pPr>
        <w:tabs>
          <w:tab w:val="left" w:leader="dot" w:pos="9072"/>
        </w:tabs>
        <w:spacing w:after="0" w:line="240" w:lineRule="auto"/>
        <w:ind w:right="567"/>
        <w:jc w:val="both"/>
        <w:rPr>
          <w:rFonts w:asciiTheme="majorBidi" w:hAnsiTheme="majorBidi" w:cstheme="majorBidi"/>
          <w:i/>
          <w:iCs/>
          <w:sz w:val="27"/>
          <w:szCs w:val="27"/>
        </w:rPr>
      </w:pPr>
      <w:r w:rsidRPr="00661F2D">
        <w:rPr>
          <w:rFonts w:asciiTheme="majorBidi" w:hAnsiTheme="majorBidi" w:cstheme="majorBidi"/>
          <w:i/>
          <w:iCs/>
          <w:sz w:val="27"/>
          <w:szCs w:val="27"/>
        </w:rPr>
        <w:t>V.8.</w:t>
      </w:r>
      <w:r w:rsidR="00A84A32" w:rsidRPr="00661F2D">
        <w:rPr>
          <w:rFonts w:asciiTheme="majorBidi" w:hAnsiTheme="majorBidi" w:cstheme="majorBidi"/>
          <w:i/>
          <w:iCs/>
          <w:sz w:val="27"/>
          <w:szCs w:val="27"/>
        </w:rPr>
        <w:t>R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>ésultats des tests effectués sur le mélange oxydé après les modifications physiques apportées.</w:t>
      </w:r>
      <w:r w:rsidR="005A2845" w:rsidRPr="00661F2D">
        <w:rPr>
          <w:rFonts w:asciiTheme="majorBidi" w:hAnsiTheme="majorBidi" w:cstheme="majorBidi"/>
          <w:i/>
          <w:iCs/>
          <w:sz w:val="27"/>
          <w:szCs w:val="27"/>
        </w:rPr>
        <w:tab/>
      </w:r>
      <w:r w:rsidR="00E93F2A" w:rsidRPr="00661F2D">
        <w:rPr>
          <w:rFonts w:asciiTheme="majorBidi" w:hAnsiTheme="majorBidi" w:cstheme="majorBidi"/>
          <w:i/>
          <w:iCs/>
          <w:sz w:val="27"/>
          <w:szCs w:val="27"/>
        </w:rPr>
        <w:t>9</w:t>
      </w:r>
      <w:r w:rsidR="00B23269">
        <w:rPr>
          <w:rFonts w:asciiTheme="majorBidi" w:hAnsiTheme="majorBidi" w:cstheme="majorBidi"/>
          <w:i/>
          <w:iCs/>
          <w:sz w:val="27"/>
          <w:szCs w:val="27"/>
        </w:rPr>
        <w:t>4</w:t>
      </w:r>
    </w:p>
    <w:p w:rsidR="00BF336D" w:rsidRPr="00661F2D" w:rsidRDefault="00B67192" w:rsidP="00B23269">
      <w:pPr>
        <w:tabs>
          <w:tab w:val="left" w:leader="dot" w:pos="1560"/>
          <w:tab w:val="left" w:leader="dot" w:pos="9072"/>
        </w:tabs>
        <w:spacing w:after="0" w:line="240" w:lineRule="auto"/>
        <w:jc w:val="both"/>
        <w:rPr>
          <w:rFonts w:asciiTheme="majorBidi" w:hAnsiTheme="majorBidi" w:cstheme="majorBidi"/>
          <w:i/>
          <w:iCs/>
          <w:sz w:val="27"/>
          <w:szCs w:val="27"/>
        </w:rPr>
      </w:pPr>
      <w:r w:rsidRPr="00661F2D">
        <w:rPr>
          <w:rFonts w:asciiTheme="majorBidi" w:hAnsiTheme="majorBidi" w:cstheme="majorBidi"/>
          <w:i/>
          <w:iCs/>
          <w:sz w:val="27"/>
          <w:szCs w:val="27"/>
        </w:rPr>
        <w:t>VI.1.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 </w:t>
      </w:r>
      <w:r w:rsidR="00A84A32" w:rsidRPr="00661F2D">
        <w:rPr>
          <w:rFonts w:asciiTheme="majorBidi" w:hAnsiTheme="majorBidi" w:cstheme="majorBidi"/>
          <w:i/>
          <w:iCs/>
          <w:sz w:val="27"/>
          <w:szCs w:val="27"/>
        </w:rPr>
        <w:t>L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>es caractéristique</w:t>
      </w:r>
      <w:r w:rsidRPr="00661F2D">
        <w:rPr>
          <w:rFonts w:asciiTheme="majorBidi" w:hAnsiTheme="majorBidi" w:cstheme="majorBidi"/>
          <w:i/>
          <w:iCs/>
          <w:sz w:val="27"/>
          <w:szCs w:val="27"/>
        </w:rPr>
        <w:t>s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 de bitume routier 40/50.</w:t>
      </w:r>
      <w:r w:rsidR="005A2845" w:rsidRPr="00661F2D">
        <w:rPr>
          <w:rFonts w:asciiTheme="majorBidi" w:hAnsiTheme="majorBidi" w:cstheme="majorBidi"/>
          <w:i/>
          <w:iCs/>
          <w:sz w:val="27"/>
          <w:szCs w:val="27"/>
        </w:rPr>
        <w:tab/>
      </w:r>
      <w:r w:rsidR="00E93F2A" w:rsidRPr="00661F2D">
        <w:rPr>
          <w:rFonts w:asciiTheme="majorBidi" w:hAnsiTheme="majorBidi" w:cstheme="majorBidi"/>
          <w:i/>
          <w:iCs/>
          <w:sz w:val="27"/>
          <w:szCs w:val="27"/>
        </w:rPr>
        <w:t>9</w:t>
      </w:r>
      <w:r w:rsidR="00B23269">
        <w:rPr>
          <w:rFonts w:asciiTheme="majorBidi" w:hAnsiTheme="majorBidi" w:cstheme="majorBidi"/>
          <w:i/>
          <w:iCs/>
          <w:sz w:val="27"/>
          <w:szCs w:val="27"/>
        </w:rPr>
        <w:t>8</w:t>
      </w:r>
    </w:p>
    <w:p w:rsidR="00BF336D" w:rsidRPr="00661F2D" w:rsidRDefault="00B67192" w:rsidP="00B23269">
      <w:pPr>
        <w:tabs>
          <w:tab w:val="left" w:leader="dot" w:pos="1560"/>
          <w:tab w:val="left" w:leader="dot" w:pos="9072"/>
        </w:tabs>
        <w:spacing w:after="0" w:line="240" w:lineRule="auto"/>
        <w:jc w:val="both"/>
        <w:rPr>
          <w:rFonts w:asciiTheme="majorBidi" w:hAnsiTheme="majorBidi" w:cstheme="majorBidi"/>
          <w:i/>
          <w:iCs/>
          <w:sz w:val="27"/>
          <w:szCs w:val="27"/>
        </w:rPr>
      </w:pPr>
      <w:r w:rsidRPr="00661F2D">
        <w:rPr>
          <w:rFonts w:asciiTheme="majorBidi" w:hAnsiTheme="majorBidi" w:cstheme="majorBidi"/>
          <w:i/>
          <w:iCs/>
          <w:sz w:val="27"/>
          <w:szCs w:val="27"/>
        </w:rPr>
        <w:t>VI.2.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 </w:t>
      </w:r>
      <w:r w:rsidR="00A84A32" w:rsidRPr="00661F2D">
        <w:rPr>
          <w:rFonts w:asciiTheme="majorBidi" w:hAnsiTheme="majorBidi" w:cstheme="majorBidi"/>
          <w:i/>
          <w:iCs/>
          <w:sz w:val="27"/>
          <w:szCs w:val="27"/>
        </w:rPr>
        <w:t>L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>es valeurs de la pénétrabilité de bitume-polyéthylène.</w:t>
      </w:r>
      <w:r w:rsidR="005A2845" w:rsidRPr="00661F2D">
        <w:rPr>
          <w:rFonts w:asciiTheme="majorBidi" w:hAnsiTheme="majorBidi" w:cstheme="majorBidi"/>
          <w:i/>
          <w:iCs/>
          <w:sz w:val="27"/>
          <w:szCs w:val="27"/>
        </w:rPr>
        <w:tab/>
      </w:r>
      <w:r w:rsidR="00B23269">
        <w:rPr>
          <w:rFonts w:asciiTheme="majorBidi" w:hAnsiTheme="majorBidi" w:cstheme="majorBidi"/>
          <w:i/>
          <w:iCs/>
          <w:sz w:val="27"/>
          <w:szCs w:val="27"/>
        </w:rPr>
        <w:t>100</w:t>
      </w:r>
    </w:p>
    <w:p w:rsidR="00BF336D" w:rsidRPr="00661F2D" w:rsidRDefault="00B67192" w:rsidP="00B23269">
      <w:pPr>
        <w:tabs>
          <w:tab w:val="left" w:leader="dot" w:pos="1560"/>
          <w:tab w:val="left" w:leader="dot" w:pos="9072"/>
        </w:tabs>
        <w:spacing w:after="0" w:line="240" w:lineRule="auto"/>
        <w:jc w:val="both"/>
        <w:rPr>
          <w:rFonts w:asciiTheme="majorBidi" w:hAnsiTheme="majorBidi" w:cstheme="majorBidi"/>
          <w:i/>
          <w:iCs/>
          <w:sz w:val="27"/>
          <w:szCs w:val="27"/>
        </w:rPr>
      </w:pPr>
      <w:r w:rsidRPr="00661F2D">
        <w:rPr>
          <w:rFonts w:asciiTheme="majorBidi" w:hAnsiTheme="majorBidi" w:cstheme="majorBidi"/>
          <w:i/>
          <w:iCs/>
          <w:sz w:val="27"/>
          <w:szCs w:val="27"/>
        </w:rPr>
        <w:t>VI.3.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 </w:t>
      </w:r>
      <w:r w:rsidR="00A84A32" w:rsidRPr="00661F2D">
        <w:rPr>
          <w:rFonts w:asciiTheme="majorBidi" w:hAnsiTheme="majorBidi" w:cstheme="majorBidi"/>
          <w:i/>
          <w:iCs/>
          <w:sz w:val="27"/>
          <w:szCs w:val="27"/>
        </w:rPr>
        <w:t>L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>es valeurs du ramollissement de bitume-polyéthylène.</w:t>
      </w:r>
      <w:r w:rsidR="005A2845" w:rsidRPr="00661F2D">
        <w:rPr>
          <w:rFonts w:asciiTheme="majorBidi" w:hAnsiTheme="majorBidi" w:cstheme="majorBidi"/>
          <w:i/>
          <w:iCs/>
          <w:sz w:val="27"/>
          <w:szCs w:val="27"/>
        </w:rPr>
        <w:tab/>
      </w:r>
      <w:r w:rsidR="00B23269">
        <w:rPr>
          <w:rFonts w:asciiTheme="majorBidi" w:hAnsiTheme="majorBidi" w:cstheme="majorBidi"/>
          <w:i/>
          <w:iCs/>
          <w:sz w:val="27"/>
          <w:szCs w:val="27"/>
        </w:rPr>
        <w:t>100</w:t>
      </w:r>
    </w:p>
    <w:p w:rsidR="00BF336D" w:rsidRPr="00661F2D" w:rsidRDefault="00B67192" w:rsidP="00B23269">
      <w:pPr>
        <w:tabs>
          <w:tab w:val="left" w:leader="dot" w:pos="1560"/>
          <w:tab w:val="left" w:leader="dot" w:pos="9072"/>
        </w:tabs>
        <w:spacing w:after="0" w:line="240" w:lineRule="auto"/>
        <w:jc w:val="both"/>
        <w:rPr>
          <w:rFonts w:asciiTheme="majorBidi" w:hAnsiTheme="majorBidi" w:cstheme="majorBidi"/>
          <w:i/>
          <w:iCs/>
          <w:sz w:val="27"/>
          <w:szCs w:val="27"/>
        </w:rPr>
      </w:pPr>
      <w:r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VI.4. </w:t>
      </w:r>
      <w:r w:rsidR="00A84A32" w:rsidRPr="00661F2D">
        <w:rPr>
          <w:rFonts w:asciiTheme="majorBidi" w:hAnsiTheme="majorBidi" w:cstheme="majorBidi"/>
          <w:i/>
          <w:iCs/>
          <w:sz w:val="27"/>
          <w:szCs w:val="27"/>
        </w:rPr>
        <w:t>L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>es valeurs de la densité de bitume-polyéthylène.</w:t>
      </w:r>
      <w:r w:rsidR="005A2845" w:rsidRPr="00661F2D">
        <w:rPr>
          <w:rFonts w:asciiTheme="majorBidi" w:hAnsiTheme="majorBidi" w:cstheme="majorBidi"/>
          <w:i/>
          <w:iCs/>
          <w:sz w:val="27"/>
          <w:szCs w:val="27"/>
        </w:rPr>
        <w:tab/>
      </w:r>
      <w:r w:rsidR="00B23269">
        <w:rPr>
          <w:rFonts w:asciiTheme="majorBidi" w:hAnsiTheme="majorBidi" w:cstheme="majorBidi"/>
          <w:i/>
          <w:iCs/>
          <w:sz w:val="27"/>
          <w:szCs w:val="27"/>
        </w:rPr>
        <w:t>100</w:t>
      </w:r>
    </w:p>
    <w:p w:rsidR="00BF336D" w:rsidRPr="00661F2D" w:rsidRDefault="00B67192" w:rsidP="00B23269">
      <w:pPr>
        <w:tabs>
          <w:tab w:val="left" w:leader="dot" w:pos="1560"/>
          <w:tab w:val="left" w:leader="dot" w:pos="9072"/>
        </w:tabs>
        <w:spacing w:after="0" w:line="240" w:lineRule="auto"/>
        <w:jc w:val="both"/>
        <w:rPr>
          <w:rFonts w:asciiTheme="majorBidi" w:hAnsiTheme="majorBidi" w:cstheme="majorBidi"/>
          <w:i/>
          <w:iCs/>
          <w:sz w:val="27"/>
          <w:szCs w:val="27"/>
        </w:rPr>
      </w:pPr>
      <w:r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VI.5. </w:t>
      </w:r>
      <w:r w:rsidR="00A84A32" w:rsidRPr="00661F2D">
        <w:rPr>
          <w:rFonts w:asciiTheme="majorBidi" w:hAnsiTheme="majorBidi" w:cstheme="majorBidi"/>
          <w:i/>
          <w:iCs/>
          <w:sz w:val="27"/>
          <w:szCs w:val="27"/>
        </w:rPr>
        <w:t>L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>es valeurs de la ductilité de bitume-polyéthylène.</w:t>
      </w:r>
      <w:r w:rsidR="005A2845" w:rsidRPr="00661F2D">
        <w:rPr>
          <w:rFonts w:asciiTheme="majorBidi" w:hAnsiTheme="majorBidi" w:cstheme="majorBidi"/>
          <w:i/>
          <w:iCs/>
          <w:sz w:val="27"/>
          <w:szCs w:val="27"/>
        </w:rPr>
        <w:tab/>
      </w:r>
      <w:r w:rsidR="00B23269">
        <w:rPr>
          <w:rFonts w:asciiTheme="majorBidi" w:hAnsiTheme="majorBidi" w:cstheme="majorBidi"/>
          <w:i/>
          <w:iCs/>
          <w:sz w:val="27"/>
          <w:szCs w:val="27"/>
        </w:rPr>
        <w:t>101</w:t>
      </w:r>
    </w:p>
    <w:p w:rsidR="00BF336D" w:rsidRPr="00661F2D" w:rsidRDefault="00B67192" w:rsidP="00B23269">
      <w:pPr>
        <w:tabs>
          <w:tab w:val="left" w:leader="dot" w:pos="1560"/>
          <w:tab w:val="left" w:leader="dot" w:pos="9072"/>
        </w:tabs>
        <w:spacing w:after="0" w:line="240" w:lineRule="auto"/>
        <w:ind w:right="-851"/>
        <w:jc w:val="both"/>
        <w:rPr>
          <w:rFonts w:asciiTheme="majorBidi" w:hAnsiTheme="majorBidi" w:cstheme="majorBidi"/>
          <w:i/>
          <w:iCs/>
          <w:sz w:val="27"/>
          <w:szCs w:val="27"/>
        </w:rPr>
      </w:pPr>
      <w:r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VI.6. </w:t>
      </w:r>
      <w:r w:rsidR="00A84A32" w:rsidRPr="00661F2D">
        <w:rPr>
          <w:rFonts w:asciiTheme="majorBidi" w:hAnsiTheme="majorBidi" w:cstheme="majorBidi"/>
          <w:i/>
          <w:iCs/>
          <w:sz w:val="27"/>
          <w:szCs w:val="27"/>
        </w:rPr>
        <w:t>L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>es valeurs des points de flash de bitume-polyéthylène.</w:t>
      </w:r>
      <w:r w:rsidR="005A2845" w:rsidRPr="00661F2D">
        <w:rPr>
          <w:rFonts w:asciiTheme="majorBidi" w:hAnsiTheme="majorBidi" w:cstheme="majorBidi"/>
          <w:i/>
          <w:iCs/>
          <w:sz w:val="27"/>
          <w:szCs w:val="27"/>
        </w:rPr>
        <w:tab/>
      </w:r>
      <w:r w:rsidR="00B23269">
        <w:rPr>
          <w:rFonts w:asciiTheme="majorBidi" w:hAnsiTheme="majorBidi" w:cstheme="majorBidi"/>
          <w:i/>
          <w:iCs/>
          <w:sz w:val="27"/>
          <w:szCs w:val="27"/>
        </w:rPr>
        <w:t>101</w:t>
      </w:r>
    </w:p>
    <w:p w:rsidR="00BF336D" w:rsidRPr="00661F2D" w:rsidRDefault="00B67192" w:rsidP="00B23269">
      <w:pPr>
        <w:tabs>
          <w:tab w:val="left" w:leader="dot" w:pos="1560"/>
          <w:tab w:val="left" w:leader="dot" w:pos="9072"/>
        </w:tabs>
        <w:spacing w:after="0" w:line="240" w:lineRule="auto"/>
        <w:jc w:val="both"/>
        <w:rPr>
          <w:rFonts w:asciiTheme="majorBidi" w:hAnsiTheme="majorBidi" w:cstheme="majorBidi"/>
          <w:i/>
          <w:iCs/>
          <w:sz w:val="27"/>
          <w:szCs w:val="27"/>
        </w:rPr>
      </w:pPr>
      <w:r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VI.7. </w:t>
      </w:r>
      <w:r w:rsidR="00A84A32" w:rsidRPr="00661F2D">
        <w:rPr>
          <w:rFonts w:asciiTheme="majorBidi" w:hAnsiTheme="majorBidi" w:cstheme="majorBidi"/>
          <w:i/>
          <w:iCs/>
          <w:sz w:val="27"/>
          <w:szCs w:val="27"/>
        </w:rPr>
        <w:t>L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>es valeurs de la viscosité cinématique de bitume-polyéthylène.</w:t>
      </w:r>
      <w:r w:rsidR="005A2845" w:rsidRPr="00661F2D">
        <w:rPr>
          <w:rFonts w:asciiTheme="majorBidi" w:hAnsiTheme="majorBidi" w:cstheme="majorBidi"/>
          <w:i/>
          <w:iCs/>
          <w:sz w:val="27"/>
          <w:szCs w:val="27"/>
        </w:rPr>
        <w:tab/>
      </w:r>
      <w:r w:rsidR="00B23269">
        <w:rPr>
          <w:rFonts w:asciiTheme="majorBidi" w:hAnsiTheme="majorBidi" w:cstheme="majorBidi"/>
          <w:i/>
          <w:iCs/>
          <w:sz w:val="27"/>
          <w:szCs w:val="27"/>
        </w:rPr>
        <w:t>101</w:t>
      </w:r>
    </w:p>
    <w:p w:rsidR="00BF336D" w:rsidRPr="00661F2D" w:rsidRDefault="00B67192" w:rsidP="00B23269">
      <w:pPr>
        <w:tabs>
          <w:tab w:val="left" w:leader="dot" w:pos="1560"/>
          <w:tab w:val="left" w:leader="dot" w:pos="9072"/>
        </w:tabs>
        <w:spacing w:after="0" w:line="240" w:lineRule="auto"/>
        <w:jc w:val="both"/>
        <w:rPr>
          <w:rFonts w:asciiTheme="majorBidi" w:hAnsiTheme="majorBidi" w:cstheme="majorBidi"/>
          <w:i/>
          <w:iCs/>
          <w:sz w:val="27"/>
          <w:szCs w:val="27"/>
        </w:rPr>
      </w:pPr>
      <w:r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VI.8. </w:t>
      </w:r>
      <w:r w:rsidR="00A84A32" w:rsidRPr="00661F2D">
        <w:rPr>
          <w:rFonts w:asciiTheme="majorBidi" w:hAnsiTheme="majorBidi" w:cstheme="majorBidi"/>
          <w:i/>
          <w:iCs/>
          <w:sz w:val="27"/>
          <w:szCs w:val="27"/>
        </w:rPr>
        <w:t>L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>es valeurs de la pénétrabilité de bitume-caoutchouc.</w:t>
      </w:r>
      <w:r w:rsidR="005A2845" w:rsidRPr="00661F2D">
        <w:rPr>
          <w:rFonts w:asciiTheme="majorBidi" w:hAnsiTheme="majorBidi" w:cstheme="majorBidi"/>
          <w:i/>
          <w:iCs/>
          <w:sz w:val="27"/>
          <w:szCs w:val="27"/>
        </w:rPr>
        <w:tab/>
      </w:r>
      <w:r w:rsidR="00B23269">
        <w:rPr>
          <w:rFonts w:asciiTheme="majorBidi" w:hAnsiTheme="majorBidi" w:cstheme="majorBidi"/>
          <w:i/>
          <w:iCs/>
          <w:sz w:val="27"/>
          <w:szCs w:val="27"/>
        </w:rPr>
        <w:t>102</w:t>
      </w:r>
    </w:p>
    <w:p w:rsidR="00BF336D" w:rsidRPr="00661F2D" w:rsidRDefault="00B67192" w:rsidP="00B23269">
      <w:pPr>
        <w:tabs>
          <w:tab w:val="left" w:leader="dot" w:pos="1560"/>
          <w:tab w:val="left" w:leader="dot" w:pos="9072"/>
        </w:tabs>
        <w:spacing w:after="0" w:line="240" w:lineRule="auto"/>
        <w:jc w:val="both"/>
        <w:rPr>
          <w:rFonts w:asciiTheme="majorBidi" w:hAnsiTheme="majorBidi" w:cstheme="majorBidi"/>
          <w:i/>
          <w:iCs/>
          <w:sz w:val="27"/>
          <w:szCs w:val="27"/>
        </w:rPr>
      </w:pPr>
      <w:r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VI.9. </w:t>
      </w:r>
      <w:r w:rsidR="00A84A32"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Les 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>valeurs du ramollissement de bitume- caoutchouc.</w:t>
      </w:r>
      <w:r w:rsidR="005A2845" w:rsidRPr="00661F2D">
        <w:rPr>
          <w:rFonts w:asciiTheme="majorBidi" w:hAnsiTheme="majorBidi" w:cstheme="majorBidi"/>
          <w:i/>
          <w:iCs/>
          <w:sz w:val="27"/>
          <w:szCs w:val="27"/>
        </w:rPr>
        <w:tab/>
      </w:r>
      <w:r w:rsidR="00B23269">
        <w:rPr>
          <w:rFonts w:asciiTheme="majorBidi" w:hAnsiTheme="majorBidi" w:cstheme="majorBidi"/>
          <w:i/>
          <w:iCs/>
          <w:sz w:val="27"/>
          <w:szCs w:val="27"/>
        </w:rPr>
        <w:t>102</w:t>
      </w:r>
    </w:p>
    <w:p w:rsidR="00BF336D" w:rsidRPr="00661F2D" w:rsidRDefault="00B67192" w:rsidP="00B23269">
      <w:pPr>
        <w:tabs>
          <w:tab w:val="left" w:leader="dot" w:pos="1560"/>
          <w:tab w:val="left" w:leader="dot" w:pos="9072"/>
        </w:tabs>
        <w:spacing w:after="0" w:line="240" w:lineRule="auto"/>
        <w:jc w:val="both"/>
        <w:rPr>
          <w:rFonts w:asciiTheme="majorBidi" w:hAnsiTheme="majorBidi" w:cstheme="majorBidi"/>
          <w:i/>
          <w:iCs/>
          <w:sz w:val="27"/>
          <w:szCs w:val="27"/>
        </w:rPr>
      </w:pPr>
      <w:r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VI.10. </w:t>
      </w:r>
      <w:r w:rsidR="00A84A32"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Les 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>valeurs de la densité de bitume- caoutchouc.</w:t>
      </w:r>
      <w:r w:rsidR="005A2845" w:rsidRPr="00661F2D">
        <w:rPr>
          <w:rFonts w:asciiTheme="majorBidi" w:hAnsiTheme="majorBidi" w:cstheme="majorBidi"/>
          <w:i/>
          <w:iCs/>
          <w:sz w:val="27"/>
          <w:szCs w:val="27"/>
        </w:rPr>
        <w:tab/>
      </w:r>
      <w:r w:rsidR="00B23269">
        <w:rPr>
          <w:rFonts w:asciiTheme="majorBidi" w:hAnsiTheme="majorBidi" w:cstheme="majorBidi"/>
          <w:i/>
          <w:iCs/>
          <w:sz w:val="27"/>
          <w:szCs w:val="27"/>
        </w:rPr>
        <w:t>102</w:t>
      </w:r>
    </w:p>
    <w:p w:rsidR="00BF336D" w:rsidRPr="00661F2D" w:rsidRDefault="00B67192" w:rsidP="00B23269">
      <w:pPr>
        <w:tabs>
          <w:tab w:val="left" w:leader="dot" w:pos="1560"/>
          <w:tab w:val="left" w:leader="dot" w:pos="9072"/>
        </w:tabs>
        <w:spacing w:after="0" w:line="240" w:lineRule="auto"/>
        <w:jc w:val="both"/>
        <w:rPr>
          <w:rFonts w:asciiTheme="majorBidi" w:hAnsiTheme="majorBidi" w:cstheme="majorBidi"/>
          <w:i/>
          <w:iCs/>
          <w:sz w:val="27"/>
          <w:szCs w:val="27"/>
        </w:rPr>
      </w:pPr>
      <w:r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VI.11. </w:t>
      </w:r>
      <w:r w:rsidR="00A84A32" w:rsidRPr="00661F2D">
        <w:rPr>
          <w:rFonts w:asciiTheme="majorBidi" w:hAnsiTheme="majorBidi" w:cstheme="majorBidi"/>
          <w:i/>
          <w:iCs/>
          <w:sz w:val="27"/>
          <w:szCs w:val="27"/>
        </w:rPr>
        <w:t>L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>es valeurs de la ductilité de bitume- caoutchouc.</w:t>
      </w:r>
      <w:r w:rsidR="005A2845" w:rsidRPr="00661F2D">
        <w:rPr>
          <w:rFonts w:asciiTheme="majorBidi" w:hAnsiTheme="majorBidi" w:cstheme="majorBidi"/>
          <w:i/>
          <w:iCs/>
          <w:sz w:val="27"/>
          <w:szCs w:val="27"/>
        </w:rPr>
        <w:tab/>
      </w:r>
      <w:r w:rsidR="00B23269">
        <w:rPr>
          <w:rFonts w:asciiTheme="majorBidi" w:hAnsiTheme="majorBidi" w:cstheme="majorBidi"/>
          <w:i/>
          <w:iCs/>
          <w:sz w:val="27"/>
          <w:szCs w:val="27"/>
        </w:rPr>
        <w:t>103</w:t>
      </w:r>
    </w:p>
    <w:p w:rsidR="00BF336D" w:rsidRPr="00661F2D" w:rsidRDefault="00B67192" w:rsidP="00B23269">
      <w:pPr>
        <w:tabs>
          <w:tab w:val="left" w:leader="dot" w:pos="1560"/>
          <w:tab w:val="left" w:leader="dot" w:pos="9072"/>
        </w:tabs>
        <w:spacing w:after="0" w:line="240" w:lineRule="auto"/>
        <w:jc w:val="both"/>
        <w:rPr>
          <w:rFonts w:asciiTheme="majorBidi" w:hAnsiTheme="majorBidi" w:cstheme="majorBidi"/>
          <w:i/>
          <w:iCs/>
          <w:sz w:val="27"/>
          <w:szCs w:val="27"/>
        </w:rPr>
      </w:pPr>
      <w:r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VI.12. </w:t>
      </w:r>
      <w:r w:rsidR="00A84A32" w:rsidRPr="00661F2D">
        <w:rPr>
          <w:rFonts w:asciiTheme="majorBidi" w:hAnsiTheme="majorBidi" w:cstheme="majorBidi"/>
          <w:i/>
          <w:iCs/>
          <w:sz w:val="27"/>
          <w:szCs w:val="27"/>
        </w:rPr>
        <w:t>L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>es valeurs des points de flash de bitume- caoutchouc.</w:t>
      </w:r>
      <w:r w:rsidR="005A2845" w:rsidRPr="00661F2D">
        <w:rPr>
          <w:rFonts w:asciiTheme="majorBidi" w:hAnsiTheme="majorBidi" w:cstheme="majorBidi"/>
          <w:i/>
          <w:iCs/>
          <w:sz w:val="27"/>
          <w:szCs w:val="27"/>
        </w:rPr>
        <w:tab/>
      </w:r>
      <w:r w:rsidR="00B23269">
        <w:rPr>
          <w:rFonts w:asciiTheme="majorBidi" w:hAnsiTheme="majorBidi" w:cstheme="majorBidi"/>
          <w:i/>
          <w:iCs/>
          <w:sz w:val="27"/>
          <w:szCs w:val="27"/>
        </w:rPr>
        <w:t>103</w:t>
      </w:r>
    </w:p>
    <w:p w:rsidR="00BF336D" w:rsidRPr="00661F2D" w:rsidRDefault="00B67192" w:rsidP="00B23269">
      <w:pPr>
        <w:tabs>
          <w:tab w:val="left" w:leader="dot" w:pos="1560"/>
          <w:tab w:val="left" w:leader="dot" w:pos="9072"/>
        </w:tabs>
        <w:spacing w:after="0" w:line="240" w:lineRule="auto"/>
        <w:jc w:val="both"/>
        <w:rPr>
          <w:rFonts w:asciiTheme="majorBidi" w:hAnsiTheme="majorBidi" w:cstheme="majorBidi"/>
          <w:i/>
          <w:iCs/>
          <w:sz w:val="27"/>
          <w:szCs w:val="27"/>
        </w:rPr>
      </w:pPr>
      <w:r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VI.13. </w:t>
      </w:r>
      <w:r w:rsidR="00A84A32"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Les 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>valeurs de la viscosité cinématique de bitume- caoutchouc.</w:t>
      </w:r>
      <w:r w:rsidR="005A2845" w:rsidRPr="00661F2D">
        <w:rPr>
          <w:rFonts w:asciiTheme="majorBidi" w:hAnsiTheme="majorBidi" w:cstheme="majorBidi"/>
          <w:i/>
          <w:iCs/>
          <w:sz w:val="27"/>
          <w:szCs w:val="27"/>
        </w:rPr>
        <w:tab/>
      </w:r>
      <w:r w:rsidR="00B23269">
        <w:rPr>
          <w:rFonts w:asciiTheme="majorBidi" w:hAnsiTheme="majorBidi" w:cstheme="majorBidi"/>
          <w:i/>
          <w:iCs/>
          <w:sz w:val="27"/>
          <w:szCs w:val="27"/>
        </w:rPr>
        <w:t>103</w:t>
      </w:r>
    </w:p>
    <w:p w:rsidR="00BF336D" w:rsidRPr="00661F2D" w:rsidRDefault="00B67192" w:rsidP="00B23269">
      <w:pPr>
        <w:tabs>
          <w:tab w:val="left" w:leader="dot" w:pos="1560"/>
          <w:tab w:val="left" w:leader="dot" w:pos="9072"/>
        </w:tabs>
        <w:spacing w:after="0" w:line="240" w:lineRule="auto"/>
        <w:jc w:val="both"/>
        <w:rPr>
          <w:rFonts w:asciiTheme="majorBidi" w:hAnsiTheme="majorBidi" w:cstheme="majorBidi"/>
          <w:i/>
          <w:iCs/>
          <w:sz w:val="27"/>
          <w:szCs w:val="27"/>
        </w:rPr>
      </w:pPr>
      <w:r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VI.14. </w:t>
      </w:r>
      <w:r w:rsidR="00A84A32" w:rsidRPr="00661F2D">
        <w:rPr>
          <w:rFonts w:asciiTheme="majorBidi" w:hAnsiTheme="majorBidi" w:cstheme="majorBidi"/>
          <w:i/>
          <w:iCs/>
          <w:sz w:val="27"/>
          <w:szCs w:val="27"/>
        </w:rPr>
        <w:t>R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>ésultats de calcul de la viscosité dynamique de bitume caoutchouc</w:t>
      </w:r>
      <w:r w:rsidR="00E93F2A" w:rsidRPr="00661F2D">
        <w:rPr>
          <w:rFonts w:asciiTheme="majorBidi" w:hAnsiTheme="majorBidi" w:cstheme="majorBidi"/>
          <w:i/>
          <w:iCs/>
          <w:sz w:val="27"/>
          <w:szCs w:val="27"/>
        </w:rPr>
        <w:tab/>
        <w:t>10</w:t>
      </w:r>
      <w:r w:rsidR="00B23269">
        <w:rPr>
          <w:rFonts w:asciiTheme="majorBidi" w:hAnsiTheme="majorBidi" w:cstheme="majorBidi"/>
          <w:i/>
          <w:iCs/>
          <w:sz w:val="27"/>
          <w:szCs w:val="27"/>
        </w:rPr>
        <w:t>9</w:t>
      </w:r>
    </w:p>
    <w:p w:rsidR="00BF336D" w:rsidRPr="00661F2D" w:rsidRDefault="00B67192" w:rsidP="00B23269">
      <w:pPr>
        <w:tabs>
          <w:tab w:val="left" w:leader="dot" w:pos="1560"/>
          <w:tab w:val="left" w:leader="dot" w:pos="9072"/>
        </w:tabs>
        <w:spacing w:after="0" w:line="240" w:lineRule="auto"/>
        <w:jc w:val="both"/>
        <w:rPr>
          <w:rFonts w:asciiTheme="majorBidi" w:hAnsiTheme="majorBidi" w:cstheme="majorBidi"/>
          <w:i/>
          <w:iCs/>
          <w:sz w:val="27"/>
          <w:szCs w:val="27"/>
        </w:rPr>
      </w:pPr>
      <w:r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VI.15. </w:t>
      </w:r>
      <w:r w:rsidR="00A84A32" w:rsidRPr="00661F2D">
        <w:rPr>
          <w:rFonts w:asciiTheme="majorBidi" w:hAnsiTheme="majorBidi" w:cstheme="majorBidi"/>
          <w:i/>
          <w:iCs/>
          <w:sz w:val="27"/>
          <w:szCs w:val="27"/>
        </w:rPr>
        <w:t>R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>ésultats de calcul de la viscosité dynamique de bitume polyéthylène.</w:t>
      </w:r>
      <w:r w:rsidR="005A2845" w:rsidRPr="00661F2D">
        <w:rPr>
          <w:rFonts w:asciiTheme="majorBidi" w:hAnsiTheme="majorBidi" w:cstheme="majorBidi"/>
          <w:i/>
          <w:iCs/>
          <w:sz w:val="27"/>
          <w:szCs w:val="27"/>
        </w:rPr>
        <w:tab/>
      </w:r>
      <w:r w:rsidR="00E93F2A" w:rsidRPr="00661F2D">
        <w:rPr>
          <w:rFonts w:asciiTheme="majorBidi" w:hAnsiTheme="majorBidi" w:cstheme="majorBidi"/>
          <w:i/>
          <w:iCs/>
          <w:sz w:val="27"/>
          <w:szCs w:val="27"/>
        </w:rPr>
        <w:t>10</w:t>
      </w:r>
      <w:r w:rsidR="00B23269">
        <w:rPr>
          <w:rFonts w:asciiTheme="majorBidi" w:hAnsiTheme="majorBidi" w:cstheme="majorBidi"/>
          <w:i/>
          <w:iCs/>
          <w:sz w:val="27"/>
          <w:szCs w:val="27"/>
        </w:rPr>
        <w:t>9</w:t>
      </w:r>
    </w:p>
    <w:p w:rsidR="00BF336D" w:rsidRPr="00661F2D" w:rsidRDefault="00B67192" w:rsidP="00B23269">
      <w:pPr>
        <w:tabs>
          <w:tab w:val="left" w:leader="dot" w:pos="1560"/>
          <w:tab w:val="left" w:leader="dot" w:pos="9072"/>
        </w:tabs>
        <w:spacing w:after="0" w:line="240" w:lineRule="auto"/>
        <w:jc w:val="both"/>
        <w:rPr>
          <w:rFonts w:asciiTheme="majorBidi" w:hAnsiTheme="majorBidi" w:cstheme="majorBidi"/>
          <w:i/>
          <w:iCs/>
          <w:sz w:val="27"/>
          <w:szCs w:val="27"/>
        </w:rPr>
      </w:pPr>
      <w:r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VI.16. </w:t>
      </w:r>
      <w:r w:rsidR="00A84A32" w:rsidRPr="00661F2D">
        <w:rPr>
          <w:rFonts w:asciiTheme="majorBidi" w:hAnsiTheme="majorBidi" w:cstheme="majorBidi"/>
          <w:i/>
          <w:iCs/>
          <w:sz w:val="27"/>
          <w:szCs w:val="27"/>
        </w:rPr>
        <w:t>R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>ésultats de calcul de l’indice de pénétrabilité pour le bitume caoutchouc.</w:t>
      </w:r>
      <w:r w:rsidR="005A2845" w:rsidRPr="00661F2D">
        <w:rPr>
          <w:rFonts w:asciiTheme="majorBidi" w:hAnsiTheme="majorBidi" w:cstheme="majorBidi"/>
          <w:i/>
          <w:iCs/>
          <w:sz w:val="27"/>
          <w:szCs w:val="27"/>
        </w:rPr>
        <w:tab/>
      </w:r>
      <w:r w:rsidR="00E93F2A" w:rsidRPr="00661F2D">
        <w:rPr>
          <w:rFonts w:asciiTheme="majorBidi" w:hAnsiTheme="majorBidi" w:cstheme="majorBidi"/>
          <w:i/>
          <w:iCs/>
          <w:sz w:val="27"/>
          <w:szCs w:val="27"/>
        </w:rPr>
        <w:t>1</w:t>
      </w:r>
      <w:r w:rsidR="00B23269">
        <w:rPr>
          <w:rFonts w:asciiTheme="majorBidi" w:hAnsiTheme="majorBidi" w:cstheme="majorBidi"/>
          <w:i/>
          <w:iCs/>
          <w:sz w:val="27"/>
          <w:szCs w:val="27"/>
        </w:rPr>
        <w:t>11</w:t>
      </w:r>
    </w:p>
    <w:p w:rsidR="00BF336D" w:rsidRPr="005A2845" w:rsidRDefault="00B67192" w:rsidP="00B23269">
      <w:pPr>
        <w:tabs>
          <w:tab w:val="left" w:leader="dot" w:pos="1560"/>
          <w:tab w:val="left" w:leader="dot" w:pos="9072"/>
        </w:tabs>
        <w:spacing w:after="0" w:line="240" w:lineRule="auto"/>
        <w:ind w:right="-567"/>
        <w:jc w:val="both"/>
        <w:rPr>
          <w:rFonts w:asciiTheme="majorBidi" w:hAnsiTheme="majorBidi" w:cstheme="majorBidi"/>
          <w:sz w:val="28"/>
          <w:szCs w:val="28"/>
        </w:rPr>
      </w:pPr>
      <w:r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VI.17. </w:t>
      </w:r>
      <w:r w:rsidR="00A84A32" w:rsidRPr="00661F2D">
        <w:rPr>
          <w:rFonts w:asciiTheme="majorBidi" w:hAnsiTheme="majorBidi" w:cstheme="majorBidi"/>
          <w:i/>
          <w:iCs/>
          <w:sz w:val="27"/>
          <w:szCs w:val="27"/>
        </w:rPr>
        <w:t xml:space="preserve">Résultats </w:t>
      </w:r>
      <w:r w:rsidR="00BF336D" w:rsidRPr="00661F2D">
        <w:rPr>
          <w:rFonts w:asciiTheme="majorBidi" w:hAnsiTheme="majorBidi" w:cstheme="majorBidi"/>
          <w:i/>
          <w:iCs/>
          <w:sz w:val="27"/>
          <w:szCs w:val="27"/>
        </w:rPr>
        <w:t>de calcul de l’indice de pénétrabilité pour le bitume polyéthylène.</w:t>
      </w:r>
      <w:r w:rsidR="00E93F2A" w:rsidRPr="00661F2D">
        <w:rPr>
          <w:rFonts w:asciiTheme="majorBidi" w:hAnsiTheme="majorBidi" w:cstheme="majorBidi"/>
          <w:i/>
          <w:iCs/>
          <w:sz w:val="27"/>
          <w:szCs w:val="27"/>
        </w:rPr>
        <w:tab/>
        <w:t>1</w:t>
      </w:r>
      <w:r w:rsidR="00B23269">
        <w:rPr>
          <w:rFonts w:asciiTheme="majorBidi" w:hAnsiTheme="majorBidi" w:cstheme="majorBidi"/>
          <w:i/>
          <w:iCs/>
          <w:sz w:val="27"/>
          <w:szCs w:val="27"/>
        </w:rPr>
        <w:t>11</w:t>
      </w:r>
      <w:r w:rsidR="00E93F2A">
        <w:rPr>
          <w:rFonts w:asciiTheme="majorBidi" w:hAnsiTheme="majorBidi" w:cstheme="majorBidi"/>
          <w:sz w:val="28"/>
          <w:szCs w:val="28"/>
        </w:rPr>
        <w:tab/>
      </w:r>
    </w:p>
    <w:p w:rsidR="00BF336D" w:rsidRPr="001F6772" w:rsidRDefault="00BF336D" w:rsidP="00E93F2A">
      <w:pPr>
        <w:pStyle w:val="Paragraphedeliste"/>
        <w:tabs>
          <w:tab w:val="left" w:pos="2289"/>
          <w:tab w:val="left" w:leader="dot" w:pos="9356"/>
        </w:tabs>
        <w:spacing w:after="0" w:line="360" w:lineRule="auto"/>
        <w:rPr>
          <w:rFonts w:asciiTheme="majorBidi" w:hAnsiTheme="majorBidi" w:cstheme="majorBidi"/>
          <w:sz w:val="28"/>
          <w:szCs w:val="28"/>
        </w:rPr>
      </w:pPr>
    </w:p>
    <w:p w:rsidR="00BF336D" w:rsidRPr="001F6772" w:rsidRDefault="00BF336D" w:rsidP="00E93F2A">
      <w:pPr>
        <w:tabs>
          <w:tab w:val="left" w:leader="dot" w:pos="9356"/>
          <w:tab w:val="left" w:leader="dot" w:pos="9781"/>
        </w:tabs>
        <w:spacing w:after="0" w:line="360" w:lineRule="auto"/>
        <w:rPr>
          <w:rFonts w:asciiTheme="majorBidi" w:hAnsiTheme="majorBidi" w:cstheme="majorBidi"/>
          <w:sz w:val="28"/>
          <w:szCs w:val="28"/>
        </w:rPr>
      </w:pPr>
    </w:p>
    <w:p w:rsidR="00927DE7" w:rsidRPr="001F6772" w:rsidRDefault="00927DE7" w:rsidP="00E93F2A">
      <w:pPr>
        <w:tabs>
          <w:tab w:val="left" w:leader="dot" w:pos="9356"/>
        </w:tabs>
        <w:spacing w:after="0" w:line="360" w:lineRule="auto"/>
        <w:rPr>
          <w:rFonts w:asciiTheme="majorBidi" w:hAnsiTheme="majorBidi" w:cstheme="majorBidi"/>
          <w:sz w:val="28"/>
          <w:szCs w:val="28"/>
        </w:rPr>
      </w:pPr>
    </w:p>
    <w:sectPr w:rsidR="00927DE7" w:rsidRPr="001F6772" w:rsidSect="00E93F2A">
      <w:headerReference w:type="default" r:id="rId7"/>
      <w:footerReference w:type="default" r:id="rId8"/>
      <w:pgSz w:w="11906" w:h="16838"/>
      <w:pgMar w:top="1417" w:right="566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1650" w:rsidRDefault="001C1650" w:rsidP="005A2845">
      <w:pPr>
        <w:spacing w:after="0" w:line="240" w:lineRule="auto"/>
      </w:pPr>
      <w:r>
        <w:separator/>
      </w:r>
    </w:p>
  </w:endnote>
  <w:endnote w:type="continuationSeparator" w:id="1">
    <w:p w:rsidR="001C1650" w:rsidRDefault="001C1650" w:rsidP="005A2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DINHJ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38298"/>
      <w:docPartObj>
        <w:docPartGallery w:val="Page Numbers (Bottom of Page)"/>
        <w:docPartUnique/>
      </w:docPartObj>
    </w:sdtPr>
    <w:sdtContent>
      <w:p w:rsidR="000025EA" w:rsidRDefault="007B06A9">
        <w:pPr>
          <w:pStyle w:val="Pieddepage"/>
          <w:jc w:val="right"/>
        </w:pPr>
        <w:fldSimple w:instr=" PAGE   \* MERGEFORMAT ">
          <w:r w:rsidR="00A84A32">
            <w:rPr>
              <w:noProof/>
            </w:rPr>
            <w:t>2</w:t>
          </w:r>
        </w:fldSimple>
      </w:p>
    </w:sdtContent>
  </w:sdt>
  <w:p w:rsidR="000025EA" w:rsidRDefault="000025EA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1650" w:rsidRDefault="001C1650" w:rsidP="005A2845">
      <w:pPr>
        <w:spacing w:after="0" w:line="240" w:lineRule="auto"/>
      </w:pPr>
      <w:r>
        <w:separator/>
      </w:r>
    </w:p>
  </w:footnote>
  <w:footnote w:type="continuationSeparator" w:id="1">
    <w:p w:rsidR="001C1650" w:rsidRDefault="001C1650" w:rsidP="005A2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845" w:rsidRDefault="005A2845">
    <w:pPr>
      <w:pStyle w:val="En-tte"/>
    </w:pPr>
    <w:r>
      <w:t>Liste des tableaux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7DE7"/>
    <w:rsid w:val="000025EA"/>
    <w:rsid w:val="0006057F"/>
    <w:rsid w:val="000A6818"/>
    <w:rsid w:val="00133ADB"/>
    <w:rsid w:val="00176C31"/>
    <w:rsid w:val="001976F7"/>
    <w:rsid w:val="001B7D9F"/>
    <w:rsid w:val="001C1650"/>
    <w:rsid w:val="001F6772"/>
    <w:rsid w:val="00254D20"/>
    <w:rsid w:val="00272DD4"/>
    <w:rsid w:val="00451316"/>
    <w:rsid w:val="00472D19"/>
    <w:rsid w:val="00503A3B"/>
    <w:rsid w:val="00552182"/>
    <w:rsid w:val="00593E26"/>
    <w:rsid w:val="005A2845"/>
    <w:rsid w:val="00661F2D"/>
    <w:rsid w:val="00725E7B"/>
    <w:rsid w:val="00740D0F"/>
    <w:rsid w:val="007B06A9"/>
    <w:rsid w:val="00927DE7"/>
    <w:rsid w:val="00983D5B"/>
    <w:rsid w:val="00A84A32"/>
    <w:rsid w:val="00B04661"/>
    <w:rsid w:val="00B23269"/>
    <w:rsid w:val="00B45150"/>
    <w:rsid w:val="00B60271"/>
    <w:rsid w:val="00B67192"/>
    <w:rsid w:val="00BF336D"/>
    <w:rsid w:val="00C1487D"/>
    <w:rsid w:val="00DA022F"/>
    <w:rsid w:val="00DD21C8"/>
    <w:rsid w:val="00E93F2A"/>
    <w:rsid w:val="00EA43C2"/>
    <w:rsid w:val="00EE5E11"/>
    <w:rsid w:val="00F52B61"/>
    <w:rsid w:val="00FD1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D0F"/>
  </w:style>
  <w:style w:type="paragraph" w:styleId="Titre1">
    <w:name w:val="heading 1"/>
    <w:basedOn w:val="Normal"/>
    <w:next w:val="Normal"/>
    <w:link w:val="Titre1Car"/>
    <w:qFormat/>
    <w:rsid w:val="00BF336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F336D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F336D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fr-FR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F336D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F336D"/>
    <w:rPr>
      <w:rFonts w:ascii="Cambria" w:eastAsia="Times New Roman" w:hAnsi="Cambria" w:cs="Times New Roman"/>
      <w:b/>
      <w:bCs/>
      <w:kern w:val="32"/>
      <w:sz w:val="32"/>
      <w:szCs w:val="32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BF33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BF336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BF336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fr-FR"/>
    </w:rPr>
  </w:style>
  <w:style w:type="paragraph" w:customStyle="1" w:styleId="namo-sublist">
    <w:name w:val="namo-sublist"/>
    <w:basedOn w:val="Normal"/>
    <w:rsid w:val="00BF336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7"/>
      <w:szCs w:val="17"/>
      <w:lang w:eastAsia="fr-FR"/>
    </w:rPr>
  </w:style>
  <w:style w:type="paragraph" w:customStyle="1" w:styleId="Corpsdetexte21">
    <w:name w:val="Corps de texte 21"/>
    <w:basedOn w:val="Normal"/>
    <w:rsid w:val="00BF336D"/>
    <w:pPr>
      <w:overflowPunct w:val="0"/>
      <w:autoSpaceDE w:val="0"/>
      <w:autoSpaceDN w:val="0"/>
      <w:adjustRightInd w:val="0"/>
      <w:spacing w:after="0" w:line="240" w:lineRule="auto"/>
      <w:ind w:right="360"/>
      <w:textAlignment w:val="baseline"/>
    </w:pPr>
    <w:rPr>
      <w:rFonts w:ascii="Helvetica" w:eastAsia="Times New Roman" w:hAnsi="Helvetica" w:cs="Helvetica"/>
      <w:color w:val="000000"/>
      <w:sz w:val="24"/>
      <w:szCs w:val="24"/>
    </w:rPr>
  </w:style>
  <w:style w:type="paragraph" w:styleId="Corpsdetexte">
    <w:name w:val="Body Text"/>
    <w:basedOn w:val="Normal"/>
    <w:link w:val="CorpsdetexteCar"/>
    <w:rsid w:val="00BF336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rsid w:val="00BF336D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BF336D"/>
    <w:pPr>
      <w:ind w:left="720"/>
      <w:contextualSpacing/>
    </w:pPr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unhideWhenUsed/>
    <w:rsid w:val="00BF3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336D"/>
    <w:rPr>
      <w:b/>
      <w:bCs/>
    </w:rPr>
  </w:style>
  <w:style w:type="paragraph" w:styleId="Titre">
    <w:name w:val="Title"/>
    <w:basedOn w:val="Normal"/>
    <w:next w:val="Normal"/>
    <w:link w:val="TitreCar"/>
    <w:uiPriority w:val="99"/>
    <w:qFormat/>
    <w:rsid w:val="00BF336D"/>
    <w:pPr>
      <w:autoSpaceDE w:val="0"/>
      <w:autoSpaceDN w:val="0"/>
      <w:adjustRightInd w:val="0"/>
      <w:spacing w:after="0" w:line="240" w:lineRule="auto"/>
    </w:pPr>
    <w:rPr>
      <w:rFonts w:ascii="IDINHJ+TimesNewRoman,Bold" w:eastAsia="Calibri" w:hAnsi="IDINHJ+TimesNewRoman,Bold" w:cs="Arial"/>
      <w:sz w:val="24"/>
      <w:szCs w:val="24"/>
    </w:rPr>
  </w:style>
  <w:style w:type="character" w:customStyle="1" w:styleId="TitreCar">
    <w:name w:val="Titre Car"/>
    <w:basedOn w:val="Policepardfaut"/>
    <w:link w:val="Titre"/>
    <w:uiPriority w:val="99"/>
    <w:rsid w:val="00BF336D"/>
    <w:rPr>
      <w:rFonts w:ascii="IDINHJ+TimesNewRoman,Bold" w:eastAsia="Calibri" w:hAnsi="IDINHJ+TimesNewRoman,Bold" w:cs="Arial"/>
      <w:sz w:val="24"/>
      <w:szCs w:val="24"/>
    </w:rPr>
  </w:style>
  <w:style w:type="paragraph" w:styleId="Date">
    <w:name w:val="Date"/>
    <w:basedOn w:val="Normal"/>
    <w:next w:val="Normal"/>
    <w:link w:val="DateCar"/>
    <w:rsid w:val="00BF336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teCar">
    <w:name w:val="Date Car"/>
    <w:basedOn w:val="Policepardfaut"/>
    <w:link w:val="Date"/>
    <w:rsid w:val="00BF336D"/>
    <w:rPr>
      <w:rFonts w:ascii="Times New Roman" w:eastAsia="Times New Roman" w:hAnsi="Times New Roman" w:cs="Times New Roman"/>
      <w:sz w:val="24"/>
      <w:szCs w:val="24"/>
    </w:rPr>
  </w:style>
  <w:style w:type="character" w:customStyle="1" w:styleId="editsection">
    <w:name w:val="editsection"/>
    <w:basedOn w:val="Policepardfaut"/>
    <w:rsid w:val="00BF336D"/>
  </w:style>
  <w:style w:type="character" w:customStyle="1" w:styleId="mw-headline">
    <w:name w:val="mw-headline"/>
    <w:basedOn w:val="Policepardfaut"/>
    <w:rsid w:val="00BF336D"/>
  </w:style>
  <w:style w:type="character" w:styleId="Lienhypertexte">
    <w:name w:val="Hyperlink"/>
    <w:basedOn w:val="Policepardfaut"/>
    <w:uiPriority w:val="99"/>
    <w:rsid w:val="00BF336D"/>
  </w:style>
  <w:style w:type="paragraph" w:customStyle="1" w:styleId="Default">
    <w:name w:val="Default"/>
    <w:rsid w:val="00BF33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character" w:styleId="Accentuation">
    <w:name w:val="Emphasis"/>
    <w:basedOn w:val="Policepardfaut"/>
    <w:qFormat/>
    <w:rsid w:val="00BF336D"/>
    <w:rPr>
      <w:i/>
      <w:i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F336D"/>
    <w:pPr>
      <w:spacing w:after="0" w:line="240" w:lineRule="auto"/>
    </w:pPr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336D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spelle">
    <w:name w:val="spelle"/>
    <w:basedOn w:val="Policepardfaut"/>
    <w:rsid w:val="00BF336D"/>
  </w:style>
  <w:style w:type="character" w:customStyle="1" w:styleId="texhtml1">
    <w:name w:val="texhtml1"/>
    <w:basedOn w:val="Policepardfaut"/>
    <w:rsid w:val="00BF336D"/>
    <w:rPr>
      <w:sz w:val="29"/>
      <w:szCs w:val="29"/>
    </w:rPr>
  </w:style>
  <w:style w:type="character" w:customStyle="1" w:styleId="gras1">
    <w:name w:val="gras1"/>
    <w:basedOn w:val="Policepardfaut"/>
    <w:rsid w:val="00BF336D"/>
    <w:rPr>
      <w:b/>
      <w:bCs/>
    </w:rPr>
  </w:style>
  <w:style w:type="table" w:styleId="Grilledutableau">
    <w:name w:val="Table Grid"/>
    <w:basedOn w:val="TableauNormal"/>
    <w:uiPriority w:val="59"/>
    <w:rsid w:val="00BF33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BF33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uiPriority w:val="99"/>
    <w:semiHidden/>
    <w:rsid w:val="00BF336D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F33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BF336D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9CE97-1447-482D-91BD-B5A9B60D0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289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AEK+KHADIDJA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medjahdi</dc:creator>
  <cp:keywords/>
  <dc:description/>
  <cp:lastModifiedBy>medjahdi</cp:lastModifiedBy>
  <cp:revision>18</cp:revision>
  <dcterms:created xsi:type="dcterms:W3CDTF">2008-10-23T16:13:00Z</dcterms:created>
  <dcterms:modified xsi:type="dcterms:W3CDTF">2009-01-02T12:36:00Z</dcterms:modified>
</cp:coreProperties>
</file>